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Inovações para processos mais sustentáveis de reciclagem a frio e estabilização do solo</w:t>
      </w:r>
    </w:p>
    <w:p w14:paraId="1B02AE5E" w14:textId="04B9B4A0" w:rsidR="00CE2CC8" w:rsidRPr="00CE2CC8" w:rsidRDefault="006538FE" w:rsidP="00CE2CC8">
      <w:pPr>
        <w:pStyle w:val="Subhead"/>
        <w:rPr>
          <w:color w:val="000000" w:themeColor="text1"/>
        </w:rPr>
      </w:pPr>
      <w:r>
        <w:rPr>
          <w:color w:val="000000" w:themeColor="text1"/>
        </w:rPr>
        <w:t>Estreia mundial da usina de mistura a frio KMA 240(i) e atualizações tecnológicas para a Série WR</w:t>
      </w:r>
    </w:p>
    <w:p w14:paraId="4DDD9F61" w14:textId="27AC4886" w:rsidR="004A4A54" w:rsidRDefault="00B76286" w:rsidP="008F2714">
      <w:pPr>
        <w:pStyle w:val="Teaserhead"/>
        <w:rPr>
          <w:szCs w:val="22"/>
        </w:rPr>
      </w:pPr>
      <w:r>
        <w:t>As tecnologias de reciclagem a frio da Wirtgen são usadas no mundo todo para reciclar materiais de construção de forma sustentável, ecológica e econômica. Agora, a nova usina móvel de mistura a frio KMA 240(i) torna a produção de misturas de alta qualidade no local ainda mais eficiente. Além das misturas betuminosas, as misturas ligadas hidraulicamente também podem ser produzidas de forma econômica.</w:t>
      </w:r>
      <w:r>
        <w:rPr>
          <w:color w:val="000000" w:themeColor="text1"/>
        </w:rPr>
        <w:t xml:space="preserve"> </w:t>
      </w:r>
      <w:r>
        <w:t xml:space="preserve">As recicladoras da Série WR são usadas na reciclagem a frio e na estabilização do solo. O novo Resource Efficiency System (Sistema de eficiência de recursos) aumenta o grau de automação do processo como um todo, elevando assim ainda mais a eficiência. </w:t>
      </w:r>
      <w:bookmarkStart w:id="0" w:name="_Hlk105069297"/>
      <w:r>
        <w:t>Além disso, a nova barra de pulverização para ligante VARIO oferece a possibilidade de regular a pressão de pulverização de água e betume e, desse modo, proporciona uma distribuição mais homogênea na câmara de mistura.</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 xml:space="preserve">KMA 240(i) com sistema de canal duplo </w:t>
      </w:r>
    </w:p>
    <w:p w14:paraId="263757A3" w14:textId="30AFC32F" w:rsidR="004F1DDA" w:rsidRDefault="008F2714" w:rsidP="00B65A46">
      <w:pPr>
        <w:pStyle w:val="Standardabsatz"/>
        <w:rPr>
          <w:szCs w:val="22"/>
        </w:rPr>
      </w:pPr>
      <w:r>
        <w:rPr>
          <w:color w:val="000000" w:themeColor="text1"/>
        </w:rPr>
        <w:t>A nova usina móvel de reciclagem a frio KMA 240(i) da Wirtgen permite a produção de misturas de alta qualidade em operação contínua e com economia de recursos.</w:t>
      </w:r>
      <w:r>
        <w:t xml:space="preserve"> A inovadora tecnologia de canal duplo possibilitou dobrar a velocidade de produção de misturas a partir de diferentes materiais de construção. O sistema permite a adição exata, confiável e automática de altas quantidades de ligantes hidráulicos.</w:t>
      </w:r>
      <w:r>
        <w:rPr>
          <w:color w:val="000000" w:themeColor="text1"/>
        </w:rPr>
        <w:t xml:space="preserve"> Como resultado, a produção de misturas atinge a máxima eficiência e qualidade.</w:t>
      </w:r>
      <w:r>
        <w:t xml:space="preserve"> </w:t>
      </w:r>
    </w:p>
    <w:p w14:paraId="41D2B2CC" w14:textId="5BD90C0A" w:rsidR="004F1DDA" w:rsidRDefault="008F2714" w:rsidP="00B65A46">
      <w:pPr>
        <w:pStyle w:val="Standardabsatz"/>
        <w:rPr>
          <w:szCs w:val="22"/>
        </w:rPr>
      </w:pPr>
      <w:r>
        <w:rPr>
          <w:color w:val="000000" w:themeColor="text1"/>
        </w:rPr>
        <w:t xml:space="preserve">Além das misturas a frio betuminosas, as misturas a frio ligadas hidraulicamente (HGT) e o concreto compactado a rolo podem agora ser produzidos com taxas de mistura de até 240 t/h. </w:t>
      </w:r>
      <w:r>
        <w:t xml:space="preserve">Tais materiais de construção são integrados no ciclo de construção de estradas como misturas de alta qualidade. Elas podem ser usadas para a construção de autoestradas através de rodovias e vias e até para a construção de estacionamentos ou áreas industriais. </w:t>
      </w:r>
    </w:p>
    <w:p w14:paraId="0C9FF0F3" w14:textId="77777777" w:rsidR="004F1DDA" w:rsidRDefault="008F2714" w:rsidP="00B65A46">
      <w:pPr>
        <w:pStyle w:val="Standardabsatz"/>
        <w:rPr>
          <w:szCs w:val="22"/>
        </w:rPr>
      </w:pPr>
      <w:r>
        <w:t xml:space="preserve">A KMA 240(i) é capaz de processar uma grande variedade de matérias-primas não coesas. O novo sistema de dosagem de canal duplo com calibração automática e pesagem exata permite a adição precisa e contínua de ligante no processo de mistura contínuo. Dependendo das exigências, tanto quantidades de ligante muito pequenas quanto grandes podem ser adicionadas ao processo. O asfalto de fresagem ou outros materiais granulares extraídos dos pavimentos rodoviários antigos, bem como os materiais do tratamento de RC podem ser usados como materiais de construção de forma ecologicamente correta. </w:t>
      </w:r>
    </w:p>
    <w:p w14:paraId="3371CE5E" w14:textId="6D2380E0" w:rsidR="0069389B" w:rsidRPr="00B740DC" w:rsidRDefault="008F2714" w:rsidP="00B740DC">
      <w:pPr>
        <w:pStyle w:val="Standardabsatz"/>
        <w:rPr>
          <w:szCs w:val="22"/>
        </w:rPr>
      </w:pPr>
      <w:r>
        <w:t>A reutilização de 100% do material garante uma elevada economia de energia e CO</w:t>
      </w:r>
      <w:r>
        <w:rPr>
          <w:vertAlign w:val="subscript"/>
        </w:rPr>
        <w:t>2</w:t>
      </w:r>
      <w:r>
        <w:t xml:space="preserve">, com custos e tempos de construção mínimos. A usina de reciclagem a frio é montada sobre um caminhão plataforma articulado e possui um potente motor próprio. O </w:t>
      </w:r>
      <w:r>
        <w:lastRenderedPageBreak/>
        <w:t>conceito de mobilidade permite uma transferência flexível para diversos locais de aplicação e uma rápida instalação da unidade.</w:t>
      </w:r>
    </w:p>
    <w:p w14:paraId="3CED0B59" w14:textId="1ECC907B" w:rsidR="002C0330" w:rsidRPr="00AF76C6" w:rsidRDefault="00D52196" w:rsidP="002C0330">
      <w:pPr>
        <w:pStyle w:val="Teaserhead"/>
        <w:rPr>
          <w:color w:val="000000" w:themeColor="text1"/>
        </w:rPr>
      </w:pPr>
      <w:r>
        <w:rPr>
          <w:color w:val="000000" w:themeColor="text1"/>
        </w:rPr>
        <w:t>Resource Efficiency System para a Série WR</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O Resource Efficiency System combina um sistema de direção automática e documentação digital da obra em uma aplicação que contribui significativamente para a eficiência econômica e conservação de recursos na reciclagem e estabilização do solo. O sistema de direção auxiliado por satélite permite o processamento preciso e eficiente do projeto. </w:t>
      </w:r>
      <w:r>
        <w:t>Ele controla a máquina com uma precisão na faixa de centímetros baseada em uma pista de referência previamente criada e uma sobreposição definida das pistas adjacentes.</w:t>
      </w:r>
      <w:r>
        <w:rPr>
          <w:color w:val="000000" w:themeColor="text1"/>
        </w:rPr>
        <w:t xml:space="preserve"> Ao mesmo tempo, todos os parâmetros relevantes são equilibrados especificamente para cada local, de modo a fornecer um banco de dados abrangente para documentação e análise da obra. </w:t>
      </w:r>
      <w:r>
        <w:t>No caso do estabilizador do solo, eles incluem largura e profundidade de trabalho, distância e área trabalhadas, consumo de combustível e muito mais. Orientado para o futuro, o sistema é ainda mais escalável para que outros equipamentos envolvidos no processo, como motoniveladoras e rolos compactadores, também possam se beneficiar dele.</w:t>
      </w:r>
    </w:p>
    <w:p w14:paraId="2F8E5E67" w14:textId="28CF705D" w:rsidR="00D52196" w:rsidRPr="00424D5B" w:rsidRDefault="00D52196" w:rsidP="00424D5B">
      <w:pPr>
        <w:pStyle w:val="Teaserhead"/>
        <w:rPr>
          <w:color w:val="000000" w:themeColor="text1"/>
          <w:szCs w:val="22"/>
        </w:rPr>
      </w:pPr>
      <w:r>
        <w:rPr>
          <w:color w:val="000000" w:themeColor="text1"/>
        </w:rPr>
        <w:t>Barra de pulverização VARIO para a Série WR</w:t>
      </w:r>
    </w:p>
    <w:p w14:paraId="415338DC" w14:textId="46F99A4B" w:rsidR="008F2714" w:rsidRDefault="008A7535" w:rsidP="00E7047E">
      <w:pPr>
        <w:pStyle w:val="Standardabsatz"/>
        <w:rPr>
          <w:szCs w:val="22"/>
        </w:rPr>
      </w:pPr>
      <w:r>
        <w:t>Para alcançar continuamente resultados de mistura de alta qualidade, a adição de água e ligante é regulada de acordo com vários parâmetros, como largura e profundidade de trabalho, densidade do material e avanço da máquina. A barra de pulverização conta com no máximo 16 bicos, que também podem ser ligados ou desligados a qualquer momento para variar a faixa de pulverização. A barra de pulverização VARIO para água, emulsão betuminosa e espuma de asfalto é outra inovação da Série WR. A seção transversal ajustável do bico permite que a pressão de pulverização e, com isso, a profundidade de penetração do jato no material fresado sejam reguladas. O resultado é uma distribuição ainda mais uniforme de água, emulsão betuminosa ou espuma de asfalto em toda a câmara de mistura.</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Fotos:</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7492B945">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38B678CA" w14:textId="77777777" w:rsidR="007F34C3" w:rsidRDefault="00D24E41" w:rsidP="007F34C3">
      <w:pPr>
        <w:pStyle w:val="BUnormal"/>
        <w:spacing w:after="0"/>
        <w:jc w:val="both"/>
        <w:rPr>
          <w:b/>
          <w:color w:val="auto"/>
        </w:rPr>
      </w:pPr>
      <w:r w:rsidRPr="00D24E41">
        <w:rPr>
          <w:b/>
          <w:color w:val="auto"/>
        </w:rPr>
        <w:t>W_graphic_Innovation-KMA240i_00002_HI_Finalist Innovation Award_EN</w:t>
      </w:r>
    </w:p>
    <w:p w14:paraId="4FD9008B" w14:textId="30BF5F44" w:rsidR="00A70473" w:rsidRPr="007F34C3" w:rsidRDefault="007F34C3" w:rsidP="007F34C3">
      <w:pPr>
        <w:pStyle w:val="BUnormal"/>
        <w:spacing w:after="0"/>
        <w:jc w:val="both"/>
        <w:rPr>
          <w:b/>
          <w:color w:val="auto"/>
        </w:rPr>
      </w:pPr>
      <w:r w:rsidRPr="007F34C3">
        <w:t>A usina móvel de reciclagem a frio KMA 240(i) da Wirtgen está entre os finalistas na categoria de “Tecnologia de máquina” do Prêmio Bauma de Inovação 2022.</w:t>
      </w: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18A4EB1E">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6F56F23A" w14:textId="77777777" w:rsidR="00D24E41" w:rsidRDefault="00D24E41" w:rsidP="008F2714">
      <w:pPr>
        <w:pStyle w:val="BUnormal"/>
        <w:spacing w:after="0"/>
        <w:jc w:val="both"/>
        <w:rPr>
          <w:b/>
          <w:color w:val="auto"/>
        </w:rPr>
      </w:pPr>
      <w:r w:rsidRPr="00D24E41">
        <w:rPr>
          <w:b/>
          <w:color w:val="auto"/>
        </w:rPr>
        <w:t>W_composing_WR-Series_00003_HI_Finalist Innovation Award_EN</w:t>
      </w:r>
    </w:p>
    <w:p w14:paraId="60E621ED" w14:textId="39F929D3" w:rsidR="00C95DAB" w:rsidRDefault="007F34C3" w:rsidP="00F74540">
      <w:pPr>
        <w:pStyle w:val="Fuzeile1"/>
        <w:rPr>
          <w:bCs w:val="0"/>
          <w:iCs w:val="0"/>
          <w:color w:val="000000"/>
          <w:sz w:val="20"/>
          <w:szCs w:val="20"/>
        </w:rPr>
      </w:pPr>
      <w:r w:rsidRPr="007F34C3">
        <w:rPr>
          <w:bCs w:val="0"/>
          <w:iCs w:val="0"/>
          <w:color w:val="000000"/>
          <w:sz w:val="20"/>
          <w:szCs w:val="20"/>
        </w:rPr>
        <w:t>O Resource Efficiency System da Wirtgen é um dos finalistas na categoria de “Digitalização” do Prêmio Bauma de Inovação 2022.</w:t>
      </w:r>
    </w:p>
    <w:p w14:paraId="26C65C5F" w14:textId="77777777" w:rsidR="007F34C3" w:rsidRDefault="007F34C3" w:rsidP="00F74540">
      <w:pPr>
        <w:pStyle w:val="Fuzeile1"/>
      </w:pPr>
    </w:p>
    <w:p w14:paraId="28BAB111" w14:textId="77777777" w:rsidR="008F2714" w:rsidRPr="006C0C87" w:rsidRDefault="008F2714" w:rsidP="008F2714">
      <w:pPr>
        <w:pStyle w:val="Note"/>
      </w:pPr>
      <w:r>
        <w:t>Observação: Essas fotos servem apenas para a visualização prévia. Para impressão nas publicações, devem ser utilizadas as fotos em resolução de 300 dpi, disponíveis para download no site da Wirtgen GmbH /do Wirtgen Group.</w:t>
      </w:r>
    </w:p>
    <w:p w14:paraId="1D27A741" w14:textId="77777777" w:rsidR="008F2714" w:rsidRDefault="008F2714" w:rsidP="008F2714">
      <w:pPr>
        <w:pStyle w:val="Absatzberschrift"/>
        <w:rPr>
          <w:iCs/>
        </w:rPr>
      </w:pPr>
      <w:r>
        <w:t>Para mais informações, entre em contato com:</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Pr>
          <w:b w:val="0"/>
        </w:rPr>
        <w:t>WIRTGEN GROUP</w:t>
      </w:r>
    </w:p>
    <w:p w14:paraId="224DAAD9" w14:textId="77777777" w:rsidR="008F2714" w:rsidRDefault="008F2714" w:rsidP="008F2714">
      <w:pPr>
        <w:pStyle w:val="Fuzeile1"/>
      </w:pPr>
      <w:r>
        <w:t>Public Relations</w:t>
      </w:r>
    </w:p>
    <w:p w14:paraId="189FFC09" w14:textId="77777777" w:rsidR="008F2714" w:rsidRDefault="008F2714" w:rsidP="008F2714">
      <w:pPr>
        <w:pStyle w:val="Fuzeile1"/>
      </w:pPr>
      <w:r>
        <w:t>Reinhard-Wirtgen-Straße 2</w:t>
      </w:r>
    </w:p>
    <w:p w14:paraId="4C949765" w14:textId="77777777" w:rsidR="008F2714" w:rsidRDefault="008F2714" w:rsidP="008F2714">
      <w:pPr>
        <w:pStyle w:val="Fuzeile1"/>
      </w:pPr>
      <w:r>
        <w:t>53578 Windhagen</w:t>
      </w:r>
    </w:p>
    <w:p w14:paraId="7B80EB62" w14:textId="77777777" w:rsidR="008F2714" w:rsidRDefault="008F2714" w:rsidP="008F2714">
      <w:pPr>
        <w:pStyle w:val="Fuzeile1"/>
      </w:pPr>
      <w:r>
        <w:t>Alemanha</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Telefone: +49 (0) 2645 131 – 1966 </w:t>
      </w:r>
    </w:p>
    <w:p w14:paraId="572D96DC" w14:textId="77777777" w:rsidR="008F2714" w:rsidRDefault="008F2714" w:rsidP="008F2714">
      <w:pPr>
        <w:pStyle w:val="Fuzeile1"/>
      </w:pPr>
      <w:r>
        <w:t>Fax: +49 (0) 2645 131 – 499</w:t>
      </w:r>
    </w:p>
    <w:p w14:paraId="0B015768" w14:textId="77777777" w:rsidR="008F2714" w:rsidRDefault="008F2714" w:rsidP="008F2714">
      <w:pPr>
        <w:pStyle w:val="Fuzeile1"/>
      </w:pPr>
      <w:r>
        <w:t>E-mail: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7F34C3"/>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4E41"/>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2022-06-02T11:36:00Z</dcterms:created>
  <dcterms:modified xsi:type="dcterms:W3CDTF">2022-06-15T09:48:00Z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